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6B" w:rsidRPr="00E012B6" w:rsidRDefault="008A636B" w:rsidP="008A636B">
      <w:pPr>
        <w:autoSpaceDE w:val="0"/>
        <w:autoSpaceDN w:val="0"/>
        <w:adjustRightInd w:val="0"/>
        <w:spacing w:after="0" w:line="240" w:lineRule="auto"/>
        <w:ind w:firstLine="540"/>
        <w:jc w:val="center"/>
        <w:rPr>
          <w:rFonts w:eastAsia="Times New Roman"/>
          <w:b w:val="0"/>
          <w:sz w:val="24"/>
          <w:szCs w:val="24"/>
          <w:lang w:eastAsia="ru-RU"/>
        </w:rPr>
      </w:pPr>
      <w:r w:rsidRPr="00E012B6">
        <w:rPr>
          <w:rFonts w:eastAsia="Times New Roman"/>
          <w:b w:val="0"/>
          <w:sz w:val="24"/>
          <w:szCs w:val="24"/>
          <w:lang w:eastAsia="ru-RU"/>
        </w:rPr>
        <w:t>Информационное сообщение</w:t>
      </w:r>
    </w:p>
    <w:p w:rsidR="008A636B" w:rsidRPr="00E012B6" w:rsidRDefault="008A636B" w:rsidP="008A636B">
      <w:pPr>
        <w:autoSpaceDE w:val="0"/>
        <w:autoSpaceDN w:val="0"/>
        <w:adjustRightInd w:val="0"/>
        <w:spacing w:after="0" w:line="240" w:lineRule="auto"/>
        <w:ind w:firstLine="540"/>
        <w:jc w:val="center"/>
        <w:rPr>
          <w:rFonts w:eastAsia="Times New Roman"/>
          <w:b w:val="0"/>
          <w:sz w:val="24"/>
          <w:szCs w:val="24"/>
          <w:lang w:eastAsia="ru-RU"/>
        </w:rPr>
      </w:pPr>
      <w:r w:rsidRPr="00E012B6">
        <w:rPr>
          <w:rFonts w:eastAsia="Times New Roman"/>
          <w:b w:val="0"/>
          <w:sz w:val="24"/>
          <w:szCs w:val="24"/>
          <w:lang w:eastAsia="ru-RU"/>
        </w:rPr>
        <w:t>негосударственным поставщикам услуг в социальной сфере, в том числе социально ориентированным некоммерческим организациям (далее - СОНКО), об оказании им муниципальной имущественной поддержки</w:t>
      </w:r>
    </w:p>
    <w:p w:rsidR="008A636B" w:rsidRPr="00E012B6" w:rsidRDefault="008A636B" w:rsidP="008A636B">
      <w:pPr>
        <w:autoSpaceDE w:val="0"/>
        <w:autoSpaceDN w:val="0"/>
        <w:adjustRightInd w:val="0"/>
        <w:spacing w:after="0" w:line="240" w:lineRule="auto"/>
        <w:ind w:firstLine="540"/>
        <w:jc w:val="both"/>
        <w:rPr>
          <w:rFonts w:eastAsia="Times New Roman"/>
          <w:b w:val="0"/>
          <w:sz w:val="24"/>
          <w:szCs w:val="24"/>
          <w:lang w:eastAsia="ru-RU"/>
        </w:rPr>
      </w:pPr>
    </w:p>
    <w:p w:rsidR="008A636B" w:rsidRPr="00E012B6" w:rsidRDefault="008A636B" w:rsidP="008A636B">
      <w:pPr>
        <w:widowControl w:val="0"/>
        <w:autoSpaceDE w:val="0"/>
        <w:autoSpaceDN w:val="0"/>
        <w:adjustRightInd w:val="0"/>
        <w:spacing w:after="0" w:line="240" w:lineRule="auto"/>
        <w:ind w:firstLine="709"/>
        <w:jc w:val="both"/>
        <w:rPr>
          <w:rFonts w:eastAsia="Times New Roman"/>
          <w:b w:val="0"/>
          <w:sz w:val="24"/>
          <w:szCs w:val="24"/>
          <w:lang w:eastAsia="ru-RU"/>
        </w:rPr>
      </w:pPr>
      <w:r w:rsidRPr="00E012B6">
        <w:rPr>
          <w:rFonts w:eastAsia="Times New Roman"/>
          <w:b w:val="0"/>
          <w:sz w:val="24"/>
          <w:szCs w:val="24"/>
          <w:lang w:eastAsia="ru-RU"/>
        </w:rPr>
        <w:t>Подобно статье 16 Федерального закона от 24 июля 2007 года № 209-ФЗ «О развитии малого и среднего предпринимательства</w:t>
      </w:r>
      <w:r>
        <w:rPr>
          <w:rFonts w:eastAsia="Times New Roman"/>
          <w:b w:val="0"/>
          <w:sz w:val="24"/>
          <w:szCs w:val="24"/>
          <w:lang w:eastAsia="ru-RU"/>
        </w:rPr>
        <w:t xml:space="preserve"> в Российской Федерации» </w:t>
      </w:r>
      <w:r w:rsidRPr="00E012B6">
        <w:rPr>
          <w:rFonts w:eastAsia="Times New Roman"/>
          <w:b w:val="0"/>
          <w:sz w:val="24"/>
          <w:szCs w:val="24"/>
          <w:lang w:eastAsia="ru-RU"/>
        </w:rPr>
        <w:t xml:space="preserve">статьей 31.1 Федерального закона от 12 января 1996 года № 7-ФЗ «О некоммерческих организациях» (далее – Закон о НКО) предусмотрена возможность оказания поддержки социально ориентированным некоммерческим организациям (далее – СОНКО) органами местного самоуправления и определены формы такой поддержки. </w:t>
      </w:r>
    </w:p>
    <w:p w:rsidR="008A636B" w:rsidRPr="00E012B6" w:rsidRDefault="008A636B" w:rsidP="008A636B">
      <w:pPr>
        <w:widowControl w:val="0"/>
        <w:autoSpaceDE w:val="0"/>
        <w:autoSpaceDN w:val="0"/>
        <w:adjustRightInd w:val="0"/>
        <w:spacing w:after="0" w:line="240" w:lineRule="auto"/>
        <w:ind w:firstLine="709"/>
        <w:jc w:val="both"/>
        <w:rPr>
          <w:rFonts w:eastAsia="Times New Roman"/>
          <w:b w:val="0"/>
          <w:sz w:val="24"/>
          <w:szCs w:val="24"/>
          <w:lang w:eastAsia="ru-RU"/>
        </w:rPr>
      </w:pPr>
      <w:r w:rsidRPr="00E012B6">
        <w:rPr>
          <w:rFonts w:eastAsia="Times New Roman"/>
          <w:b w:val="0"/>
          <w:sz w:val="24"/>
          <w:szCs w:val="24"/>
          <w:lang w:eastAsia="ru-RU"/>
        </w:rPr>
        <w:t xml:space="preserve">В соответствии со статьями 18 Закона о развитии МСП и 31.1 Закона о НКО имущественная поддержка начинается с утверждения перечней муниципального имущества, свободного от прав третьих лиц и предназначенного для передачи во временное владение и (или) пользование МСП или СОНКО соответственно (далее – перечни). </w:t>
      </w:r>
    </w:p>
    <w:p w:rsidR="008A636B" w:rsidRPr="00E012B6" w:rsidRDefault="008A636B" w:rsidP="008A636B">
      <w:pPr>
        <w:widowControl w:val="0"/>
        <w:autoSpaceDE w:val="0"/>
        <w:autoSpaceDN w:val="0"/>
        <w:adjustRightInd w:val="0"/>
        <w:spacing w:after="0" w:line="240" w:lineRule="auto"/>
        <w:ind w:firstLine="709"/>
        <w:jc w:val="both"/>
        <w:rPr>
          <w:rFonts w:eastAsia="Times New Roman"/>
          <w:b w:val="0"/>
          <w:sz w:val="24"/>
          <w:szCs w:val="24"/>
          <w:lang w:eastAsia="ru-RU"/>
        </w:rPr>
      </w:pPr>
      <w:r w:rsidRPr="00E012B6">
        <w:rPr>
          <w:rFonts w:eastAsia="Times New Roman"/>
          <w:b w:val="0"/>
          <w:sz w:val="24"/>
          <w:szCs w:val="24"/>
          <w:lang w:eastAsia="ru-RU"/>
        </w:rPr>
        <w:t xml:space="preserve">Таким образом, муниципальной имущественной поддержкой МСП и СОНКО является поддержка, оказанная путем предоставления муниципального имущества, находящегося в муниципальной казне и включенного в указанные выше перечни. </w:t>
      </w:r>
    </w:p>
    <w:p w:rsidR="008A636B" w:rsidRPr="00E012B6" w:rsidRDefault="008A636B" w:rsidP="008A636B">
      <w:pPr>
        <w:pStyle w:val="ConsPlusNormal"/>
        <w:ind w:firstLine="540"/>
        <w:jc w:val="both"/>
        <w:rPr>
          <w:sz w:val="24"/>
          <w:szCs w:val="24"/>
        </w:rPr>
      </w:pPr>
      <w:r w:rsidRPr="00E012B6">
        <w:rPr>
          <w:sz w:val="24"/>
          <w:szCs w:val="24"/>
        </w:rPr>
        <w:t>В целях обеспечения равного доступа субъектов к получению имущественной поддержки МСП и СОНКО перечни подлежат опубликова</w:t>
      </w:r>
      <w:r>
        <w:rPr>
          <w:sz w:val="24"/>
          <w:szCs w:val="24"/>
        </w:rPr>
        <w:t>нию</w:t>
      </w:r>
      <w:r w:rsidRPr="00E012B6">
        <w:rPr>
          <w:sz w:val="24"/>
          <w:szCs w:val="24"/>
        </w:rPr>
        <w:t xml:space="preserve"> в средствах массовой информации, а также размещаются: </w:t>
      </w:r>
    </w:p>
    <w:p w:rsidR="008A636B" w:rsidRPr="00E012B6" w:rsidRDefault="008A636B" w:rsidP="008A636B">
      <w:pPr>
        <w:pStyle w:val="ConsPlusNormal"/>
        <w:ind w:firstLine="540"/>
        <w:jc w:val="both"/>
        <w:rPr>
          <w:sz w:val="24"/>
          <w:szCs w:val="24"/>
        </w:rPr>
      </w:pPr>
      <w:r w:rsidRPr="00E012B6">
        <w:rPr>
          <w:sz w:val="24"/>
          <w:szCs w:val="24"/>
        </w:rPr>
        <w:t>в информационно-телекоммуникационной сети «Интернет» на главной странице официальных сайтов утвердивших их органов местного самоуправления в отдельной вкладке «Имущественная поддержка МСП и СОНКО» с последующей актуализацией;</w:t>
      </w:r>
    </w:p>
    <w:p w:rsidR="008A636B" w:rsidRPr="00E012B6" w:rsidRDefault="008A636B" w:rsidP="008A636B">
      <w:pPr>
        <w:pStyle w:val="ConsPlusNormal"/>
        <w:ind w:firstLine="540"/>
        <w:jc w:val="both"/>
        <w:rPr>
          <w:sz w:val="24"/>
          <w:szCs w:val="24"/>
        </w:rPr>
      </w:pPr>
      <w:r w:rsidRPr="00E012B6">
        <w:rPr>
          <w:sz w:val="24"/>
          <w:szCs w:val="24"/>
        </w:rPr>
        <w:t>в формате открытых данных на официальных сайтах утвердивших их органов местного самоуправления, в том числе с возможностью выгрузки его в файле Exel;</w:t>
      </w:r>
    </w:p>
    <w:p w:rsidR="008A636B" w:rsidRPr="00E012B6" w:rsidRDefault="008A636B" w:rsidP="008A636B">
      <w:pPr>
        <w:pStyle w:val="ConsPlusNormal"/>
        <w:ind w:firstLine="540"/>
        <w:jc w:val="both"/>
        <w:rPr>
          <w:sz w:val="24"/>
          <w:szCs w:val="24"/>
        </w:rPr>
      </w:pPr>
      <w:r w:rsidRPr="00E012B6">
        <w:rPr>
          <w:sz w:val="24"/>
          <w:szCs w:val="24"/>
        </w:rPr>
        <w:t>на официальных сайтах Фонда поддержки предпринимательства Югры и Союза «Торгово-промышленная палата Ханты-Мансийского автономного   округа – Югры».</w:t>
      </w:r>
    </w:p>
    <w:p w:rsidR="008A636B" w:rsidRPr="00E012B6" w:rsidRDefault="008A636B" w:rsidP="008A636B">
      <w:pPr>
        <w:pStyle w:val="ConsPlusNormal"/>
        <w:ind w:firstLine="540"/>
        <w:jc w:val="both"/>
        <w:rPr>
          <w:sz w:val="24"/>
          <w:szCs w:val="24"/>
        </w:rPr>
      </w:pPr>
      <w:r w:rsidRPr="00E012B6">
        <w:rPr>
          <w:sz w:val="24"/>
          <w:szCs w:val="24"/>
        </w:rPr>
        <w:t>При этом передача муниципальных объектов социального назначения производится в соответствии с  разъяснениями Министерства экономического развития Российской Федерации по реализации нормативных правовых актов, в части передачи детских садов, эксплуатируемых муниципальными образованиями более 3-х лет, а также иных объектов образования, культуры, здравоохранения, спорта и других объектов – находящихся в муниципальной собственности социально ориентированным поставщикам социальных услуг и социальным предпринимателям.</w:t>
      </w:r>
    </w:p>
    <w:p w:rsidR="008A636B" w:rsidRPr="00E012B6" w:rsidRDefault="008A636B" w:rsidP="008A636B">
      <w:pPr>
        <w:pStyle w:val="ConsPlusNormal"/>
        <w:ind w:firstLine="540"/>
        <w:jc w:val="both"/>
        <w:rPr>
          <w:sz w:val="24"/>
          <w:szCs w:val="24"/>
        </w:rPr>
      </w:pPr>
      <w:r w:rsidRPr="00E012B6">
        <w:rPr>
          <w:sz w:val="24"/>
          <w:szCs w:val="24"/>
        </w:rPr>
        <w:t>Учитывая рекомендации АО «Корпорация «МСП» для единообразного подхода при оказании имущественной поддержки МСП и СОНКО до 30 сентября 2017 года будут внесены изменения в действующие муниципальные акты (при отсутствии таковых приняты муниципальные правовые акты), определяющие порядок формирования, ведения и обязательного опубликования перечней, в соответствии с пунктом 4 Целевой модели и с учетом Методических рекомендаций.</w:t>
      </w:r>
    </w:p>
    <w:p w:rsidR="008A636B" w:rsidRDefault="008A636B" w:rsidP="008A636B">
      <w:pPr>
        <w:pStyle w:val="ConsPlusNormal"/>
        <w:ind w:firstLine="540"/>
        <w:jc w:val="both"/>
        <w:rPr>
          <w:sz w:val="24"/>
          <w:szCs w:val="24"/>
        </w:rPr>
      </w:pPr>
      <w:r w:rsidRPr="00E012B6">
        <w:rPr>
          <w:sz w:val="24"/>
          <w:szCs w:val="24"/>
        </w:rPr>
        <w:t xml:space="preserve">Департаментом по управлению муниципальным имуществом Ханты-Мансийского автономного округа - Югры разработан проект постановления Правительства автономного округа «О Порядке передачи в аренду имущества, находящегося в государственной собственности Ханты-Мансийского автономного округа – Югры» (далее – проект). Проектом предлагается размер арендной платы устанавливать на основании отчета об оценке имущественного права владения и(или) пользования за единицу времени (день, месяц, год), подготовленного в соответствии с законодательством, регулирующим оценочную деятельность в Российской Федерации. Следует отметить, что согласно федеральным стандартам оценки, оценщик обязан при определении размера арендной платы провести анализ рынка и учитывать цель использования государственного имущества в соответствии с разделом III Федерального стандарта оценки «Требования к отчету об оценке (ФСО N 3)», </w:t>
      </w:r>
      <w:r w:rsidRPr="00E012B6">
        <w:rPr>
          <w:sz w:val="24"/>
          <w:szCs w:val="24"/>
        </w:rPr>
        <w:lastRenderedPageBreak/>
        <w:t>утвержденного приказом Минэкономразвития России от 20 мая 2015 года № 299. Вместе с этим, проектом предлагается предусмотреть льготные условия предоставления государственного имущества автономного округа в пользование МСП и СОНКО. Учитывая, что механизм государственной имущественной поддержки определен федеральными законами, проектом предусматривается применение коэффициента корректировки, понижающего установленный независимым оценщиком размер арендной платы, на весь период аренды государственного имущества автономного округа для МСП на 50 процентов, для СОНКО – на 90 процентов.</w:t>
      </w:r>
    </w:p>
    <w:p w:rsidR="008A636B" w:rsidRDefault="008A636B" w:rsidP="008A636B">
      <w:pPr>
        <w:pStyle w:val="ConsPlusNormal"/>
        <w:ind w:firstLine="540"/>
        <w:jc w:val="both"/>
        <w:rPr>
          <w:sz w:val="24"/>
          <w:szCs w:val="24"/>
        </w:rPr>
      </w:pPr>
      <w:r w:rsidRPr="007D0242">
        <w:rPr>
          <w:sz w:val="24"/>
          <w:szCs w:val="24"/>
        </w:rPr>
        <w:t xml:space="preserve">Дополнительную информацию по вопросам оказания имущественной поддержки МСП и СОНКО можно посмотреть на официальном сайте Департамента по управлению государственным имуществом Ханты-Мансийского автономного округа – Югры в разделе «Информация для муниципальных образований» и на сайте администрации города </w:t>
      </w:r>
      <w:r>
        <w:rPr>
          <w:sz w:val="24"/>
          <w:szCs w:val="24"/>
        </w:rPr>
        <w:t>в разделе Администрация-Структура администрации-Департамент экономической политики-Развитие НКО-Имущественная поддержка в городском округе город Мегион.</w:t>
      </w:r>
    </w:p>
    <w:p w:rsidR="008A636B" w:rsidRDefault="008A636B" w:rsidP="008A636B">
      <w:pPr>
        <w:pStyle w:val="ConsPlusNormal"/>
        <w:ind w:firstLine="540"/>
        <w:jc w:val="both"/>
        <w:rPr>
          <w:sz w:val="24"/>
          <w:szCs w:val="24"/>
        </w:rPr>
      </w:pPr>
    </w:p>
    <w:p w:rsidR="008A636B" w:rsidRPr="007D0242" w:rsidRDefault="008A636B" w:rsidP="008A636B">
      <w:pPr>
        <w:pStyle w:val="ConsPlusNormal"/>
        <w:ind w:firstLine="540"/>
        <w:jc w:val="both"/>
        <w:rPr>
          <w:sz w:val="24"/>
          <w:szCs w:val="24"/>
        </w:rPr>
      </w:pPr>
    </w:p>
    <w:p w:rsidR="008A636B" w:rsidRDefault="008A636B" w:rsidP="008A636B">
      <w:pPr>
        <w:spacing w:after="0" w:line="240" w:lineRule="auto"/>
        <w:jc w:val="both"/>
        <w:rPr>
          <w:b w:val="0"/>
          <w:sz w:val="24"/>
          <w:szCs w:val="24"/>
          <w14:textOutline w14:w="9525" w14:cap="rnd" w14:cmpd="sng" w14:algn="ctr">
            <w14:noFill/>
            <w14:prstDash w14:val="solid"/>
            <w14:bevel/>
          </w14:textOutline>
        </w:rPr>
      </w:pPr>
    </w:p>
    <w:p w:rsidR="008A636B" w:rsidRPr="00E012B6" w:rsidRDefault="008A636B" w:rsidP="008A636B">
      <w:pPr>
        <w:spacing w:after="0" w:line="240" w:lineRule="auto"/>
        <w:jc w:val="both"/>
        <w:rPr>
          <w:b w:val="0"/>
          <w:sz w:val="24"/>
          <w:szCs w:val="24"/>
          <w14:textOutline w14:w="9525" w14:cap="rnd" w14:cmpd="sng" w14:algn="ctr">
            <w14:noFill/>
            <w14:prstDash w14:val="solid"/>
            <w14:bevel/>
          </w14:textOutline>
        </w:rPr>
      </w:pPr>
      <w:r w:rsidRPr="00E012B6">
        <w:rPr>
          <w:b w:val="0"/>
          <w:sz w:val="24"/>
          <w:szCs w:val="24"/>
          <w14:textOutline w14:w="9525" w14:cap="rnd" w14:cmpd="sng" w14:algn="ctr">
            <w14:noFill/>
            <w14:prstDash w14:val="solid"/>
            <w14:bevel/>
          </w14:textOutline>
        </w:rPr>
        <w:t>Начальник отдела по работе с</w:t>
      </w:r>
    </w:p>
    <w:p w:rsidR="008A636B" w:rsidRPr="00E012B6" w:rsidRDefault="008A636B" w:rsidP="008A636B">
      <w:pPr>
        <w:spacing w:after="0" w:line="240" w:lineRule="auto"/>
        <w:jc w:val="both"/>
        <w:rPr>
          <w:b w:val="0"/>
          <w:sz w:val="24"/>
          <w:szCs w:val="24"/>
          <w14:textOutline w14:w="9525" w14:cap="rnd" w14:cmpd="sng" w14:algn="ctr">
            <w14:noFill/>
            <w14:prstDash w14:val="solid"/>
            <w14:bevel/>
          </w14:textOutline>
        </w:rPr>
      </w:pPr>
      <w:r w:rsidRPr="00E012B6">
        <w:rPr>
          <w:b w:val="0"/>
          <w:sz w:val="24"/>
          <w:szCs w:val="24"/>
          <w14:textOutline w14:w="9525" w14:cap="rnd" w14:cmpd="sng" w14:algn="ctr">
            <w14:noFill/>
            <w14:prstDash w14:val="solid"/>
            <w14:bevel/>
          </w14:textOutline>
        </w:rPr>
        <w:t xml:space="preserve"> общественными организациями и</w:t>
      </w:r>
    </w:p>
    <w:p w:rsidR="008A636B" w:rsidRPr="00E012B6" w:rsidRDefault="008A636B" w:rsidP="008A636B">
      <w:pPr>
        <w:spacing w:after="0" w:line="240" w:lineRule="auto"/>
        <w:jc w:val="both"/>
        <w:rPr>
          <w:b w:val="0"/>
          <w:sz w:val="24"/>
          <w:szCs w:val="24"/>
          <w14:textOutline w14:w="9525" w14:cap="rnd" w14:cmpd="sng" w14:algn="ctr">
            <w14:noFill/>
            <w14:prstDash w14:val="solid"/>
            <w14:bevel/>
          </w14:textOutline>
        </w:rPr>
      </w:pPr>
      <w:r w:rsidRPr="00E012B6">
        <w:rPr>
          <w:b w:val="0"/>
          <w:sz w:val="24"/>
          <w:szCs w:val="24"/>
          <w14:textOutline w14:w="9525" w14:cap="rnd" w14:cmpd="sng" w14:algn="ctr">
            <w14:noFill/>
            <w14:prstDash w14:val="solid"/>
            <w14:bevel/>
          </w14:textOutline>
        </w:rPr>
        <w:t xml:space="preserve"> обращениями граждан управления делами </w:t>
      </w:r>
    </w:p>
    <w:p w:rsidR="008A636B" w:rsidRPr="00E012B6" w:rsidRDefault="008A636B" w:rsidP="008A636B">
      <w:pPr>
        <w:spacing w:after="0" w:line="240" w:lineRule="auto"/>
        <w:jc w:val="both"/>
        <w:rPr>
          <w:b w:val="0"/>
          <w:sz w:val="24"/>
          <w:szCs w:val="24"/>
          <w14:textOutline w14:w="9525" w14:cap="rnd" w14:cmpd="sng" w14:algn="ctr">
            <w14:noFill/>
            <w14:prstDash w14:val="solid"/>
            <w14:bevel/>
          </w14:textOutline>
        </w:rPr>
      </w:pPr>
      <w:r w:rsidRPr="00E012B6">
        <w:rPr>
          <w:b w:val="0"/>
          <w:sz w:val="24"/>
          <w:szCs w:val="24"/>
          <w14:textOutline w14:w="9525" w14:cap="rnd" w14:cmpd="sng" w14:algn="ctr">
            <w14:noFill/>
            <w14:prstDash w14:val="solid"/>
            <w14:bevel/>
          </w14:textOutline>
        </w:rPr>
        <w:t xml:space="preserve">администрации города Мегиона                                                        </w:t>
      </w:r>
    </w:p>
    <w:p w:rsidR="008A636B" w:rsidRPr="00E012B6" w:rsidRDefault="008A636B" w:rsidP="008A636B">
      <w:pPr>
        <w:spacing w:after="0" w:line="240" w:lineRule="auto"/>
        <w:rPr>
          <w:b w:val="0"/>
          <w:sz w:val="24"/>
          <w:szCs w:val="24"/>
        </w:rPr>
      </w:pPr>
      <w:r w:rsidRPr="00E012B6">
        <w:rPr>
          <w:b w:val="0"/>
          <w:sz w:val="24"/>
          <w:szCs w:val="24"/>
        </w:rPr>
        <w:t>Ирина Андреевна Левова,</w:t>
      </w:r>
      <w:r>
        <w:rPr>
          <w:b w:val="0"/>
          <w:sz w:val="24"/>
          <w:szCs w:val="24"/>
        </w:rPr>
        <w:t xml:space="preserve"> </w:t>
      </w:r>
      <w:r w:rsidRPr="00E012B6">
        <w:rPr>
          <w:b w:val="0"/>
          <w:sz w:val="24"/>
          <w:szCs w:val="24"/>
        </w:rPr>
        <w:t>тел.3-14-60</w:t>
      </w:r>
    </w:p>
    <w:p w:rsidR="00F44DC4" w:rsidRDefault="00F44DC4">
      <w:bookmarkStart w:id="0" w:name="_GoBack"/>
      <w:bookmarkEnd w:id="0"/>
    </w:p>
    <w:sectPr w:rsidR="00F44DC4" w:rsidSect="00E012B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6F"/>
    <w:rsid w:val="00213B6F"/>
    <w:rsid w:val="008A636B"/>
    <w:rsid w:val="00F4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99EAD-5952-4FF7-8CC5-BCEDF15C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6B"/>
    <w:rPr>
      <w:rFonts w:ascii="Times New Roman" w:eastAsia="Calibri" w:hAnsi="Times New Roman" w:cs="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6B"/>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Левова Ирина Андреевна</dc:creator>
  <cp:keywords/>
  <dc:description/>
  <cp:lastModifiedBy>Левова Ирина Андреевна</cp:lastModifiedBy>
  <cp:revision>2</cp:revision>
  <dcterms:created xsi:type="dcterms:W3CDTF">2017-08-22T06:42:00Z</dcterms:created>
  <dcterms:modified xsi:type="dcterms:W3CDTF">2017-08-22T06:43:00Z</dcterms:modified>
</cp:coreProperties>
</file>